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7040" w:rsidRPr="00FC2F0D" w:rsidRDefault="00BE7040">
      <w:pPr>
        <w:pStyle w:val="Heading1"/>
        <w:tabs>
          <w:tab w:val="left" w:pos="0"/>
        </w:tabs>
      </w:pPr>
      <w:r w:rsidRPr="00FC2F0D">
        <w:t xml:space="preserve">Lesson </w:t>
      </w:r>
      <w:r w:rsidR="00F80A00" w:rsidRPr="00FC2F0D">
        <w:t>7</w:t>
      </w:r>
      <w:r w:rsidRPr="00FC2F0D">
        <w:t xml:space="preserve"> – Business Continuity and Disaster Recovery Planning</w:t>
      </w:r>
    </w:p>
    <w:p w:rsidR="00BE7040" w:rsidRPr="00FC2F0D" w:rsidRDefault="00BE7040">
      <w:pPr>
        <w:autoSpaceDE w:val="0"/>
        <w:rPr>
          <w:rFonts w:ascii="Marlett" w:hAnsi="Marlett" w:cs="Marlett"/>
          <w:color w:val="FFFFFF"/>
          <w:sz w:val="19"/>
          <w:szCs w:val="19"/>
        </w:rPr>
      </w:pPr>
    </w:p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The Business Impact Assessment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Describes the impact of disaster recovery planning on the budget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Describes the impact of a disaster on business operations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Is a prerequisite to the Vulnerability Assessment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Is the first official statement produced after a disaster</w:t>
      </w:r>
    </w:p>
    <w:p w:rsidR="00BE7040" w:rsidRPr="00FC2F0D" w:rsidRDefault="00BE7040">
      <w:pPr>
        <w:ind w:left="1260"/>
      </w:pPr>
    </w:p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The greatest advantage of a cold site is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It can be built nearly anywhere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Its high responsiveness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Its low cost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Its close proximity to airports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The decision whether to purchase an emergency generator is based upon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Wholesale electric rates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Retail electric rates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The duration of a typical outage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The income rate of affected systems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Which is the least important reason for developing business continuity and disaster recovery plans?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Disasters really do occur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Budgeting IT expenditures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Good business practice and standard of due care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Legal or regulatory compliance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Which of the following is NOT a concern when choosing a disaster recovery site?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Regulatory requirements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Physical distance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Transportation requirements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Access control procedures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The primary phases of the enterprise continuity planning implementation methodology include all of the following except:</w:t>
      </w:r>
    </w:p>
    <w:p w:rsidR="00BE7040" w:rsidRPr="00FC2F0D" w:rsidRDefault="00BE7040" w:rsidP="00FC2F0D">
      <w:pPr>
        <w:numPr>
          <w:ilvl w:val="1"/>
          <w:numId w:val="2"/>
        </w:numPr>
        <w:tabs>
          <w:tab w:val="left" w:pos="1620"/>
        </w:tabs>
      </w:pPr>
      <w:r w:rsidRPr="00FC2F0D">
        <w:t>Current state assessment phase</w:t>
      </w:r>
    </w:p>
    <w:p w:rsidR="00BE7040" w:rsidRPr="00FC2F0D" w:rsidRDefault="00BE7040" w:rsidP="00FC2F0D">
      <w:pPr>
        <w:numPr>
          <w:ilvl w:val="1"/>
          <w:numId w:val="2"/>
        </w:numPr>
        <w:tabs>
          <w:tab w:val="left" w:pos="1620"/>
        </w:tabs>
      </w:pPr>
      <w:r w:rsidRPr="00FC2F0D">
        <w:t>Execution phase</w:t>
      </w:r>
    </w:p>
    <w:p w:rsidR="00BE7040" w:rsidRPr="00FC2F0D" w:rsidRDefault="00BE7040" w:rsidP="00FC2F0D">
      <w:pPr>
        <w:numPr>
          <w:ilvl w:val="1"/>
          <w:numId w:val="2"/>
        </w:numPr>
        <w:tabs>
          <w:tab w:val="left" w:pos="1620"/>
        </w:tabs>
      </w:pPr>
      <w:r w:rsidRPr="00FC2F0D">
        <w:t>Design and development phase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Management phase</w:t>
      </w:r>
    </w:p>
    <w:p w:rsidR="00BE7040" w:rsidRPr="00FC2F0D" w:rsidRDefault="00BE7040">
      <w:pPr>
        <w:ind w:left="360"/>
      </w:pPr>
    </w:p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 xml:space="preserve"> During the threat analysis phase of the continuity planning methodology, which of the following threats should be addressed?</w:t>
      </w:r>
    </w:p>
    <w:p w:rsidR="00BE7040" w:rsidRPr="00FC2F0D" w:rsidRDefault="00BE7040" w:rsidP="00FC2F0D">
      <w:pPr>
        <w:pStyle w:val="ListParagraph"/>
        <w:numPr>
          <w:ilvl w:val="0"/>
          <w:numId w:val="4"/>
        </w:numPr>
        <w:tabs>
          <w:tab w:val="left" w:pos="1620"/>
        </w:tabs>
      </w:pPr>
      <w:r w:rsidRPr="00FC2F0D">
        <w:t>Physical security</w:t>
      </w:r>
    </w:p>
    <w:p w:rsidR="00BE7040" w:rsidRPr="00FC2F0D" w:rsidRDefault="00BE7040" w:rsidP="00FC2F0D">
      <w:pPr>
        <w:pStyle w:val="ListParagraph"/>
        <w:numPr>
          <w:ilvl w:val="0"/>
          <w:numId w:val="4"/>
        </w:numPr>
        <w:tabs>
          <w:tab w:val="left" w:pos="1620"/>
        </w:tabs>
      </w:pPr>
      <w:r w:rsidRPr="00FC2F0D">
        <w:lastRenderedPageBreak/>
        <w:t>Environmental security</w:t>
      </w:r>
    </w:p>
    <w:p w:rsidR="00BE7040" w:rsidRPr="00FC2F0D" w:rsidRDefault="00BE7040" w:rsidP="00FC2F0D">
      <w:pPr>
        <w:pStyle w:val="ListParagraph"/>
        <w:numPr>
          <w:ilvl w:val="0"/>
          <w:numId w:val="4"/>
        </w:numPr>
        <w:tabs>
          <w:tab w:val="left" w:pos="1620"/>
        </w:tabs>
      </w:pPr>
      <w:r w:rsidRPr="00FC2F0D">
        <w:t>Information security</w:t>
      </w:r>
    </w:p>
    <w:p w:rsidR="00BE7040" w:rsidRPr="00FC2F0D" w:rsidRDefault="00BE7040" w:rsidP="00FC2F0D">
      <w:pPr>
        <w:pStyle w:val="ListParagraph"/>
        <w:numPr>
          <w:ilvl w:val="0"/>
          <w:numId w:val="4"/>
        </w:numPr>
        <w:tabs>
          <w:tab w:val="left" w:pos="1620"/>
        </w:tabs>
      </w:pPr>
      <w:r w:rsidRPr="00FC2F0D">
        <w:t>All of the above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Which of the following is considered the most important component of the enterprisewide continuity planning program?</w:t>
      </w:r>
    </w:p>
    <w:p w:rsidR="00BE7040" w:rsidRPr="00FC2F0D" w:rsidRDefault="00BE7040" w:rsidP="00FC2F0D">
      <w:pPr>
        <w:pStyle w:val="ListParagraph"/>
        <w:numPr>
          <w:ilvl w:val="0"/>
          <w:numId w:val="5"/>
        </w:numPr>
        <w:tabs>
          <w:tab w:val="left" w:pos="1620"/>
        </w:tabs>
      </w:pPr>
      <w:r w:rsidRPr="00FC2F0D">
        <w:t>Business impact assessment</w:t>
      </w:r>
    </w:p>
    <w:p w:rsidR="00BE7040" w:rsidRPr="00FC2F0D" w:rsidRDefault="00BE7040" w:rsidP="00FC2F0D">
      <w:pPr>
        <w:pStyle w:val="ListParagraph"/>
        <w:numPr>
          <w:ilvl w:val="0"/>
          <w:numId w:val="5"/>
        </w:numPr>
        <w:tabs>
          <w:tab w:val="left" w:pos="1620"/>
        </w:tabs>
      </w:pPr>
      <w:r w:rsidRPr="00FC2F0D">
        <w:t>Formalized continuity plans</w:t>
      </w:r>
    </w:p>
    <w:p w:rsidR="00BE7040" w:rsidRPr="00FC2F0D" w:rsidRDefault="00BE7040" w:rsidP="00FC2F0D">
      <w:pPr>
        <w:pStyle w:val="ListParagraph"/>
        <w:numPr>
          <w:ilvl w:val="0"/>
          <w:numId w:val="5"/>
        </w:numPr>
        <w:tabs>
          <w:tab w:val="left" w:pos="1620"/>
        </w:tabs>
      </w:pPr>
      <w:r w:rsidRPr="00FC2F0D">
        <w:t>Executive management support</w:t>
      </w:r>
    </w:p>
    <w:p w:rsidR="00BE7040" w:rsidRPr="00FC2F0D" w:rsidRDefault="00BE7040" w:rsidP="00FC2F0D">
      <w:pPr>
        <w:pStyle w:val="ListParagraph"/>
        <w:numPr>
          <w:ilvl w:val="0"/>
          <w:numId w:val="5"/>
        </w:numPr>
        <w:tabs>
          <w:tab w:val="left" w:pos="1620"/>
        </w:tabs>
      </w:pPr>
      <w:r w:rsidRPr="00FC2F0D">
        <w:t>Hotsite arrangements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When conducting the business impact assessment, business processes are examined relative to all but one of the following criteria:</w:t>
      </w:r>
    </w:p>
    <w:p w:rsidR="00BE7040" w:rsidRPr="00FC2F0D" w:rsidRDefault="00BE7040" w:rsidP="00FC2F0D">
      <w:pPr>
        <w:pStyle w:val="ListParagraph"/>
        <w:numPr>
          <w:ilvl w:val="0"/>
          <w:numId w:val="6"/>
        </w:numPr>
        <w:tabs>
          <w:tab w:val="left" w:pos="1620"/>
        </w:tabs>
      </w:pPr>
      <w:r w:rsidRPr="00FC2F0D">
        <w:t>Customer interruption impacts</w:t>
      </w:r>
    </w:p>
    <w:p w:rsidR="00BE7040" w:rsidRPr="00FC2F0D" w:rsidRDefault="00BE7040" w:rsidP="00FC2F0D">
      <w:pPr>
        <w:pStyle w:val="ListParagraph"/>
        <w:numPr>
          <w:ilvl w:val="0"/>
          <w:numId w:val="6"/>
        </w:numPr>
        <w:tabs>
          <w:tab w:val="left" w:pos="1620"/>
        </w:tabs>
      </w:pPr>
      <w:r w:rsidRPr="00FC2F0D">
        <w:t>Embarrassment or loss of confidence impacts</w:t>
      </w:r>
    </w:p>
    <w:p w:rsidR="00BE7040" w:rsidRPr="00FC2F0D" w:rsidRDefault="00BE7040" w:rsidP="00FC2F0D">
      <w:pPr>
        <w:pStyle w:val="ListParagraph"/>
        <w:numPr>
          <w:ilvl w:val="0"/>
          <w:numId w:val="6"/>
        </w:numPr>
        <w:tabs>
          <w:tab w:val="left" w:pos="1620"/>
        </w:tabs>
      </w:pPr>
      <w:r w:rsidRPr="00FC2F0D">
        <w:t>Executive management disruption impacts</w:t>
      </w:r>
    </w:p>
    <w:p w:rsidR="00BE7040" w:rsidRPr="00FC2F0D" w:rsidRDefault="00BE7040" w:rsidP="00FC2F0D">
      <w:pPr>
        <w:pStyle w:val="ListParagraph"/>
        <w:numPr>
          <w:ilvl w:val="0"/>
          <w:numId w:val="6"/>
        </w:numPr>
        <w:tabs>
          <w:tab w:val="left" w:pos="1620"/>
        </w:tabs>
      </w:pPr>
      <w:r w:rsidRPr="00FC2F0D">
        <w:t>Revenue loss potential impacts</w:t>
      </w:r>
    </w:p>
    <w:p w:rsidR="00BE7040" w:rsidRPr="00FC2F0D" w:rsidRDefault="00BE7040"/>
    <w:p w:rsidR="00BE7040" w:rsidRPr="00FC2F0D" w:rsidRDefault="00BE7040">
      <w:pPr>
        <w:numPr>
          <w:ilvl w:val="0"/>
          <w:numId w:val="2"/>
        </w:numPr>
        <w:tabs>
          <w:tab w:val="left" w:pos="900"/>
        </w:tabs>
      </w:pPr>
      <w:r w:rsidRPr="00FC2F0D">
        <w:t>To maximize the safety of backup media, it should be stored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At a specialized off-site media storage facility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At the residences of various senior managers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In the operations centre in a locking file cabinet</w:t>
      </w:r>
    </w:p>
    <w:p w:rsidR="00BE7040" w:rsidRPr="00FC2F0D" w:rsidRDefault="00BE7040">
      <w:pPr>
        <w:numPr>
          <w:ilvl w:val="1"/>
          <w:numId w:val="2"/>
        </w:numPr>
        <w:tabs>
          <w:tab w:val="left" w:pos="1620"/>
        </w:tabs>
      </w:pPr>
      <w:r w:rsidRPr="00FC2F0D">
        <w:t>Between 50F and 60F</w:t>
      </w:r>
    </w:p>
    <w:p w:rsidR="00BE7040" w:rsidRPr="00FC2F0D" w:rsidRDefault="00BE7040"/>
    <w:p w:rsidR="00BE7040" w:rsidRPr="00FC2F0D" w:rsidRDefault="00BE7040">
      <w:pPr>
        <w:pStyle w:val="Heading2"/>
        <w:tabs>
          <w:tab w:val="left" w:pos="0"/>
        </w:tabs>
      </w:pPr>
      <w:r w:rsidRPr="00FC2F0D">
        <w:t>Homework</w:t>
      </w:r>
    </w:p>
    <w:p w:rsidR="00BE7040" w:rsidRPr="00FC2F0D" w:rsidRDefault="00BE7040">
      <w:pPr>
        <w:numPr>
          <w:ilvl w:val="0"/>
          <w:numId w:val="3"/>
        </w:numPr>
        <w:tabs>
          <w:tab w:val="left" w:pos="720"/>
          <w:tab w:val="left" w:pos="889"/>
        </w:tabs>
      </w:pPr>
      <w:r w:rsidRPr="00FC2F0D">
        <w:t>Read chapters 15 and 16 for Business Continuity Planning, Disaster Recovery Planning in the Sybex textbook if you haven’t done so already.</w:t>
      </w:r>
    </w:p>
    <w:p w:rsidR="00BE7040" w:rsidRPr="00FC2F0D" w:rsidRDefault="00BE7040">
      <w:pPr>
        <w:numPr>
          <w:ilvl w:val="0"/>
          <w:numId w:val="3"/>
        </w:numPr>
        <w:tabs>
          <w:tab w:val="left" w:pos="720"/>
          <w:tab w:val="left" w:pos="889"/>
        </w:tabs>
      </w:pPr>
      <w:r w:rsidRPr="00FC2F0D">
        <w:t xml:space="preserve">Write a </w:t>
      </w:r>
      <w:r w:rsidRPr="00FC2F0D">
        <w:rPr>
          <w:b/>
          <w:bCs/>
        </w:rPr>
        <w:t>one page</w:t>
      </w:r>
      <w:r w:rsidRPr="00FC2F0D">
        <w:t xml:space="preserve"> summary for BCP and DRP Security Domain to use for studying.</w:t>
      </w:r>
    </w:p>
    <w:p w:rsidR="00BE7040" w:rsidRPr="00FC2F0D" w:rsidRDefault="00BE7040">
      <w:pPr>
        <w:numPr>
          <w:ilvl w:val="0"/>
          <w:numId w:val="3"/>
        </w:numPr>
        <w:tabs>
          <w:tab w:val="left" w:pos="720"/>
          <w:tab w:val="left" w:pos="889"/>
        </w:tabs>
      </w:pPr>
      <w:r w:rsidRPr="00FC2F0D">
        <w:t xml:space="preserve">Make time to do lots of sample questions…  and do them!  </w:t>
      </w:r>
    </w:p>
    <w:p w:rsidR="00BE7040" w:rsidRPr="00FC2F0D" w:rsidRDefault="00BE7040">
      <w:pPr>
        <w:pStyle w:val="Heading2"/>
        <w:tabs>
          <w:tab w:val="left" w:pos="0"/>
        </w:tabs>
      </w:pPr>
      <w:r w:rsidRPr="00FC2F0D">
        <w:t xml:space="preserve">Preparing for Lesson </w:t>
      </w:r>
      <w:r w:rsidR="00F80A00" w:rsidRPr="00FC2F0D">
        <w:t>8</w:t>
      </w:r>
    </w:p>
    <w:p w:rsidR="00BE7040" w:rsidRPr="00FC2F0D" w:rsidRDefault="00BE7040">
      <w:pPr>
        <w:numPr>
          <w:ilvl w:val="0"/>
          <w:numId w:val="3"/>
        </w:numPr>
        <w:tabs>
          <w:tab w:val="left" w:pos="720"/>
          <w:tab w:val="left" w:pos="889"/>
        </w:tabs>
      </w:pPr>
      <w:r w:rsidRPr="00FC2F0D">
        <w:t>Read chapters 9 and 10 Cryptography</w:t>
      </w:r>
    </w:p>
    <w:p w:rsidR="00BE7040" w:rsidRPr="00FC2F0D" w:rsidRDefault="00BE7040">
      <w:pPr>
        <w:numPr>
          <w:ilvl w:val="0"/>
          <w:numId w:val="3"/>
        </w:numPr>
        <w:tabs>
          <w:tab w:val="left" w:pos="720"/>
          <w:tab w:val="left" w:pos="889"/>
        </w:tabs>
      </w:pPr>
      <w:r w:rsidRPr="00FC2F0D">
        <w:t>Do you have your study notes in order?</w:t>
      </w:r>
    </w:p>
    <w:p w:rsidR="00BE7040" w:rsidRDefault="00BE7040">
      <w:pPr>
        <w:tabs>
          <w:tab w:val="left" w:pos="424"/>
          <w:tab w:val="left" w:pos="889"/>
        </w:tabs>
        <w:ind w:left="360"/>
      </w:pPr>
    </w:p>
    <w:sectPr w:rsidR="00BE7040" w:rsidSect="00BD303D">
      <w:headerReference w:type="default" r:id="rId7"/>
      <w:footerReference w:type="default" r:id="rId8"/>
      <w:footnotePr>
        <w:pos w:val="beneathText"/>
      </w:footnotePr>
      <w:pgSz w:w="12240" w:h="15840"/>
      <w:pgMar w:top="1797" w:right="1080" w:bottom="1440" w:left="126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E48" w:rsidRDefault="00392E48">
      <w:r>
        <w:separator/>
      </w:r>
    </w:p>
  </w:endnote>
  <w:endnote w:type="continuationSeparator" w:id="1">
    <w:p w:rsidR="00392E48" w:rsidRDefault="00392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040" w:rsidRDefault="00BE7040">
    <w:pPr>
      <w:pStyle w:val="Footer"/>
      <w:tabs>
        <w:tab w:val="left" w:pos="7890"/>
      </w:tabs>
      <w:jc w:val="right"/>
    </w:pPr>
  </w:p>
  <w:p w:rsidR="00BE7040" w:rsidRDefault="00BE7040">
    <w:pPr>
      <w:pStyle w:val="Footer"/>
      <w:tabs>
        <w:tab w:val="left" w:pos="7890"/>
      </w:tabs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annmarie.westgate@ryerson.ca</w:t>
    </w:r>
  </w:p>
  <w:sdt>
    <w:sdtPr>
      <w:id w:val="250395305"/>
      <w:docPartObj>
        <w:docPartGallery w:val="Page Numbers (Top of Page)"/>
        <w:docPartUnique/>
      </w:docPartObj>
    </w:sdtPr>
    <w:sdtContent>
      <w:p w:rsidR="001139B8" w:rsidRDefault="001139B8" w:rsidP="001139B8">
        <w:pPr>
          <w:jc w:val="center"/>
        </w:pPr>
        <w:r w:rsidRPr="001139B8">
          <w:rPr>
            <w:rFonts w:ascii="Arial" w:hAnsi="Arial"/>
            <w:sz w:val="20"/>
            <w:szCs w:val="20"/>
          </w:rPr>
          <w:t xml:space="preserve">Page </w:t>
        </w:r>
        <w:r w:rsidRPr="001139B8">
          <w:rPr>
            <w:rFonts w:ascii="Arial" w:hAnsi="Arial"/>
            <w:sz w:val="20"/>
            <w:szCs w:val="20"/>
          </w:rPr>
          <w:fldChar w:fldCharType="begin"/>
        </w:r>
        <w:r w:rsidRPr="001139B8">
          <w:rPr>
            <w:rFonts w:ascii="Arial" w:hAnsi="Arial"/>
            <w:sz w:val="20"/>
            <w:szCs w:val="20"/>
          </w:rPr>
          <w:instrText xml:space="preserve"> PAGE </w:instrText>
        </w:r>
        <w:r w:rsidRPr="001139B8">
          <w:rPr>
            <w:rFonts w:ascii="Arial" w:hAnsi="Arial"/>
            <w:sz w:val="20"/>
            <w:szCs w:val="20"/>
          </w:rPr>
          <w:fldChar w:fldCharType="separate"/>
        </w:r>
        <w:r w:rsidR="00392E48">
          <w:rPr>
            <w:rFonts w:ascii="Arial" w:hAnsi="Arial"/>
            <w:noProof/>
            <w:sz w:val="20"/>
            <w:szCs w:val="20"/>
          </w:rPr>
          <w:t>1</w:t>
        </w:r>
        <w:r w:rsidRPr="001139B8">
          <w:rPr>
            <w:rFonts w:ascii="Arial" w:hAnsi="Arial"/>
            <w:sz w:val="20"/>
            <w:szCs w:val="20"/>
          </w:rPr>
          <w:fldChar w:fldCharType="end"/>
        </w:r>
        <w:r w:rsidRPr="001139B8">
          <w:rPr>
            <w:rFonts w:ascii="Arial" w:hAnsi="Arial"/>
            <w:sz w:val="20"/>
            <w:szCs w:val="20"/>
          </w:rPr>
          <w:t xml:space="preserve"> of </w:t>
        </w:r>
        <w:r w:rsidRPr="001139B8">
          <w:rPr>
            <w:rFonts w:ascii="Arial" w:hAnsi="Arial"/>
            <w:sz w:val="20"/>
            <w:szCs w:val="20"/>
          </w:rPr>
          <w:fldChar w:fldCharType="begin"/>
        </w:r>
        <w:r w:rsidRPr="001139B8">
          <w:rPr>
            <w:rFonts w:ascii="Arial" w:hAnsi="Arial"/>
            <w:sz w:val="20"/>
            <w:szCs w:val="20"/>
          </w:rPr>
          <w:instrText xml:space="preserve"> NUMPAGES  </w:instrText>
        </w:r>
        <w:r w:rsidRPr="001139B8">
          <w:rPr>
            <w:rFonts w:ascii="Arial" w:hAnsi="Arial"/>
            <w:sz w:val="20"/>
            <w:szCs w:val="20"/>
          </w:rPr>
          <w:fldChar w:fldCharType="separate"/>
        </w:r>
        <w:r w:rsidR="00392E48">
          <w:rPr>
            <w:rFonts w:ascii="Arial" w:hAnsi="Arial"/>
            <w:noProof/>
            <w:sz w:val="20"/>
            <w:szCs w:val="20"/>
          </w:rPr>
          <w:t>1</w:t>
        </w:r>
        <w:r w:rsidRPr="001139B8">
          <w:rPr>
            <w:rFonts w:ascii="Arial" w:hAnsi="Arial"/>
            <w:sz w:val="20"/>
            <w:szCs w:val="20"/>
          </w:rPr>
          <w:fldChar w:fldCharType="end"/>
        </w:r>
      </w:p>
    </w:sdtContent>
  </w:sdt>
  <w:p w:rsidR="00BE7040" w:rsidRDefault="00BE704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E48" w:rsidRDefault="00392E48">
      <w:r>
        <w:separator/>
      </w:r>
    </w:p>
  </w:footnote>
  <w:footnote w:type="continuationSeparator" w:id="1">
    <w:p w:rsidR="00392E48" w:rsidRDefault="00392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040" w:rsidRDefault="00D63014">
    <w:pPr>
      <w:pStyle w:val="Header"/>
    </w:pPr>
    <w:r>
      <w:rPr>
        <w:noProof/>
        <w:lang w:val="en-US"/>
      </w:rPr>
      <w:drawing>
        <wp:anchor distT="0" distB="0" distL="114935" distR="114935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0590" cy="761365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7613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303D" w:rsidRPr="00BD303D">
      <w:rPr>
        <w:sz w:val="20"/>
        <w:szCs w:val="20"/>
      </w:rPr>
      <w:fldChar w:fldCharType="begin"/>
    </w:r>
    <w:r w:rsidR="00BE7040">
      <w:rPr>
        <w:sz w:val="20"/>
        <w:szCs w:val="20"/>
      </w:rPr>
      <w:instrText xml:space="preserve"> FILENAME </w:instrText>
    </w:r>
    <w:r w:rsidR="00BD303D" w:rsidRPr="00BD303D">
      <w:rPr>
        <w:sz w:val="20"/>
        <w:szCs w:val="20"/>
      </w:rPr>
      <w:fldChar w:fldCharType="separate"/>
    </w:r>
    <w:r w:rsidR="001139B8">
      <w:rPr>
        <w:noProof/>
        <w:sz w:val="20"/>
        <w:szCs w:val="20"/>
      </w:rPr>
      <w:t>L07 BCP and DRP - Quiz</w:t>
    </w:r>
    <w:r w:rsidR="00BD303D">
      <w:rPr>
        <w:rFonts w:ascii="Arial" w:hAnsi="Arial"/>
        <w:sz w:val="20"/>
        <w:szCs w:val="20"/>
      </w:rPr>
      <w:fldChar w:fldCharType="end"/>
    </w:r>
  </w:p>
  <w:p w:rsidR="00BE7040" w:rsidRDefault="00BE70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03"/>
    <w:multiLevelType w:val="singleLevel"/>
    <w:tmpl w:val="00000003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35FB1EEC"/>
    <w:multiLevelType w:val="hybridMultilevel"/>
    <w:tmpl w:val="058882AE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36D82E4A"/>
    <w:multiLevelType w:val="hybridMultilevel"/>
    <w:tmpl w:val="058882AE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2233375"/>
    <w:multiLevelType w:val="hybridMultilevel"/>
    <w:tmpl w:val="058882AE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5122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22FA6"/>
    <w:rsid w:val="001139B8"/>
    <w:rsid w:val="001840C3"/>
    <w:rsid w:val="00392E48"/>
    <w:rsid w:val="00BD303D"/>
    <w:rsid w:val="00BE7040"/>
    <w:rsid w:val="00D63014"/>
    <w:rsid w:val="00F22FA6"/>
    <w:rsid w:val="00F80A00"/>
    <w:rsid w:val="00FC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3D"/>
    <w:pPr>
      <w:suppressAutoHyphens/>
    </w:pPr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BD303D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rsid w:val="00BD303D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D303D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sid w:val="00BD303D"/>
    <w:rPr>
      <w:rFonts w:ascii="Symbol" w:hAnsi="Symbol"/>
    </w:rPr>
  </w:style>
  <w:style w:type="character" w:customStyle="1" w:styleId="WW8Num4z1">
    <w:name w:val="WW8Num4z1"/>
    <w:rsid w:val="00BD303D"/>
    <w:rPr>
      <w:rFonts w:ascii="Courier New" w:hAnsi="Courier New"/>
    </w:rPr>
  </w:style>
  <w:style w:type="character" w:customStyle="1" w:styleId="WW8Num4z2">
    <w:name w:val="WW8Num4z2"/>
    <w:rsid w:val="00BD303D"/>
    <w:rPr>
      <w:rFonts w:ascii="Wingdings" w:hAnsi="Wingdings"/>
    </w:rPr>
  </w:style>
  <w:style w:type="character" w:customStyle="1" w:styleId="WW8Num7z0">
    <w:name w:val="WW8Num7z0"/>
    <w:rsid w:val="00BD303D"/>
    <w:rPr>
      <w:rFonts w:ascii="Symbol" w:hAnsi="Symbol"/>
    </w:rPr>
  </w:style>
  <w:style w:type="character" w:customStyle="1" w:styleId="WW8Num7z1">
    <w:name w:val="WW8Num7z1"/>
    <w:rsid w:val="00BD303D"/>
    <w:rPr>
      <w:rFonts w:ascii="Courier New" w:hAnsi="Courier New"/>
    </w:rPr>
  </w:style>
  <w:style w:type="character" w:customStyle="1" w:styleId="WW8Num7z2">
    <w:name w:val="WW8Num7z2"/>
    <w:rsid w:val="00BD303D"/>
    <w:rPr>
      <w:rFonts w:ascii="Wingdings" w:hAnsi="Wingdings"/>
    </w:rPr>
  </w:style>
  <w:style w:type="character" w:customStyle="1" w:styleId="WW8Num8z0">
    <w:name w:val="WW8Num8z0"/>
    <w:rsid w:val="00BD303D"/>
    <w:rPr>
      <w:rFonts w:ascii="Symbol" w:hAnsi="Symbol"/>
    </w:rPr>
  </w:style>
  <w:style w:type="character" w:customStyle="1" w:styleId="WW8Num8z1">
    <w:name w:val="WW8Num8z1"/>
    <w:rsid w:val="00BD303D"/>
    <w:rPr>
      <w:rFonts w:ascii="Courier New" w:hAnsi="Courier New"/>
    </w:rPr>
  </w:style>
  <w:style w:type="character" w:customStyle="1" w:styleId="WW8Num8z2">
    <w:name w:val="WW8Num8z2"/>
    <w:rsid w:val="00BD303D"/>
    <w:rPr>
      <w:rFonts w:ascii="Wingdings" w:hAnsi="Wingdings"/>
    </w:rPr>
  </w:style>
  <w:style w:type="character" w:customStyle="1" w:styleId="WW8Num11z4">
    <w:name w:val="WW8Num11z4"/>
    <w:rsid w:val="00BD303D"/>
    <w:rPr>
      <w:rFonts w:ascii="Symbol" w:eastAsia="Times New Roman" w:hAnsi="Symbol" w:cs="Times New Roman"/>
    </w:rPr>
  </w:style>
  <w:style w:type="character" w:customStyle="1" w:styleId="WW8Num13z0">
    <w:name w:val="WW8Num13z0"/>
    <w:rsid w:val="00BD303D"/>
    <w:rPr>
      <w:rFonts w:ascii="Symbol" w:hAnsi="Symbol"/>
    </w:rPr>
  </w:style>
  <w:style w:type="character" w:customStyle="1" w:styleId="WW8Num13z1">
    <w:name w:val="WW8Num13z1"/>
    <w:rsid w:val="00BD303D"/>
    <w:rPr>
      <w:rFonts w:ascii="Courier New" w:hAnsi="Courier New"/>
    </w:rPr>
  </w:style>
  <w:style w:type="character" w:customStyle="1" w:styleId="WW8Num13z2">
    <w:name w:val="WW8Num13z2"/>
    <w:rsid w:val="00BD303D"/>
    <w:rPr>
      <w:rFonts w:ascii="Wingdings" w:hAnsi="Wingdings"/>
    </w:rPr>
  </w:style>
  <w:style w:type="character" w:customStyle="1" w:styleId="WW8Num18z2">
    <w:name w:val="WW8Num18z2"/>
    <w:rsid w:val="00BD303D"/>
    <w:rPr>
      <w:rFonts w:ascii="Wingdings" w:hAnsi="Wingdings"/>
    </w:rPr>
  </w:style>
  <w:style w:type="character" w:customStyle="1" w:styleId="WW8Num18z3">
    <w:name w:val="WW8Num18z3"/>
    <w:rsid w:val="00BD303D"/>
    <w:rPr>
      <w:rFonts w:ascii="Symbol" w:hAnsi="Symbol"/>
    </w:rPr>
  </w:style>
  <w:style w:type="character" w:customStyle="1" w:styleId="WW8Num18z4">
    <w:name w:val="WW8Num18z4"/>
    <w:rsid w:val="00BD303D"/>
    <w:rPr>
      <w:rFonts w:ascii="Courier New" w:hAnsi="Courier New"/>
    </w:rPr>
  </w:style>
  <w:style w:type="character" w:customStyle="1" w:styleId="WW8Num19z0">
    <w:name w:val="WW8Num19z0"/>
    <w:rsid w:val="00BD303D"/>
    <w:rPr>
      <w:rFonts w:ascii="Symbol" w:hAnsi="Symbol"/>
    </w:rPr>
  </w:style>
  <w:style w:type="character" w:customStyle="1" w:styleId="WW8Num19z1">
    <w:name w:val="WW8Num19z1"/>
    <w:rsid w:val="00BD303D"/>
    <w:rPr>
      <w:rFonts w:ascii="Courier New" w:hAnsi="Courier New"/>
    </w:rPr>
  </w:style>
  <w:style w:type="character" w:customStyle="1" w:styleId="WW8Num19z2">
    <w:name w:val="WW8Num19z2"/>
    <w:rsid w:val="00BD303D"/>
    <w:rPr>
      <w:rFonts w:ascii="Wingdings" w:hAnsi="Wingdings"/>
    </w:rPr>
  </w:style>
  <w:style w:type="character" w:customStyle="1" w:styleId="WW8Num21z0">
    <w:name w:val="WW8Num21z0"/>
    <w:rsid w:val="00BD303D"/>
    <w:rPr>
      <w:rFonts w:ascii="Symbol" w:hAnsi="Symbol"/>
    </w:rPr>
  </w:style>
  <w:style w:type="character" w:customStyle="1" w:styleId="WW8Num21z1">
    <w:name w:val="WW8Num21z1"/>
    <w:rsid w:val="00BD303D"/>
    <w:rPr>
      <w:rFonts w:ascii="Courier New" w:hAnsi="Courier New"/>
    </w:rPr>
  </w:style>
  <w:style w:type="character" w:customStyle="1" w:styleId="WW8Num21z2">
    <w:name w:val="WW8Num21z2"/>
    <w:rsid w:val="00BD303D"/>
    <w:rPr>
      <w:rFonts w:ascii="Wingdings" w:hAnsi="Wingdings"/>
    </w:rPr>
  </w:style>
  <w:style w:type="character" w:customStyle="1" w:styleId="WW8Num27z0">
    <w:name w:val="WW8Num27z0"/>
    <w:rsid w:val="00BD303D"/>
    <w:rPr>
      <w:rFonts w:ascii="Symbol" w:hAnsi="Symbol"/>
    </w:rPr>
  </w:style>
  <w:style w:type="character" w:customStyle="1" w:styleId="WW8Num28z0">
    <w:name w:val="WW8Num28z0"/>
    <w:rsid w:val="00BD303D"/>
    <w:rPr>
      <w:rFonts w:ascii="Symbol" w:hAnsi="Symbol"/>
    </w:rPr>
  </w:style>
  <w:style w:type="character" w:customStyle="1" w:styleId="WW8Num28z1">
    <w:name w:val="WW8Num28z1"/>
    <w:rsid w:val="00BD303D"/>
    <w:rPr>
      <w:rFonts w:ascii="Courier New" w:hAnsi="Courier New"/>
    </w:rPr>
  </w:style>
  <w:style w:type="character" w:customStyle="1" w:styleId="WW8Num28z2">
    <w:name w:val="WW8Num28z2"/>
    <w:rsid w:val="00BD303D"/>
    <w:rPr>
      <w:rFonts w:ascii="Wingdings" w:hAnsi="Wingdings"/>
    </w:rPr>
  </w:style>
  <w:style w:type="character" w:customStyle="1" w:styleId="WW8Num38z0">
    <w:name w:val="WW8Num38z0"/>
    <w:rsid w:val="00BD303D"/>
    <w:rPr>
      <w:rFonts w:ascii="Symbol" w:hAnsi="Symbol"/>
    </w:rPr>
  </w:style>
  <w:style w:type="character" w:customStyle="1" w:styleId="WW8Num38z1">
    <w:name w:val="WW8Num38z1"/>
    <w:rsid w:val="00BD303D"/>
    <w:rPr>
      <w:rFonts w:ascii="Courier New" w:hAnsi="Courier New"/>
    </w:rPr>
  </w:style>
  <w:style w:type="character" w:customStyle="1" w:styleId="WW8Num38z2">
    <w:name w:val="WW8Num38z2"/>
    <w:rsid w:val="00BD303D"/>
    <w:rPr>
      <w:rFonts w:ascii="Wingdings" w:hAnsi="Wingdings"/>
    </w:rPr>
  </w:style>
  <w:style w:type="character" w:styleId="Hyperlink">
    <w:name w:val="Hyperlink"/>
    <w:basedOn w:val="DefaultParagraphFont"/>
    <w:semiHidden/>
    <w:rsid w:val="00BD303D"/>
    <w:rPr>
      <w:color w:val="0000FF"/>
      <w:u w:val="single"/>
    </w:rPr>
  </w:style>
  <w:style w:type="character" w:styleId="PageNumber">
    <w:name w:val="page number"/>
    <w:basedOn w:val="DefaultParagraphFont"/>
    <w:semiHidden/>
    <w:rsid w:val="00BD303D"/>
  </w:style>
  <w:style w:type="paragraph" w:customStyle="1" w:styleId="Heading">
    <w:name w:val="Heading"/>
    <w:basedOn w:val="Normal"/>
    <w:next w:val="BodyText"/>
    <w:rsid w:val="00BD303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BD303D"/>
    <w:pPr>
      <w:spacing w:after="120"/>
    </w:pPr>
  </w:style>
  <w:style w:type="paragraph" w:styleId="List">
    <w:name w:val="List"/>
    <w:basedOn w:val="BodyText"/>
    <w:semiHidden/>
    <w:rsid w:val="00BD303D"/>
    <w:rPr>
      <w:rFonts w:cs="Tahoma"/>
    </w:rPr>
  </w:style>
  <w:style w:type="paragraph" w:styleId="Caption">
    <w:name w:val="caption"/>
    <w:basedOn w:val="Normal"/>
    <w:qFormat/>
    <w:rsid w:val="00BD303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D303D"/>
    <w:pPr>
      <w:suppressLineNumbers/>
    </w:pPr>
    <w:rPr>
      <w:rFonts w:cs="Tahoma"/>
    </w:rPr>
  </w:style>
  <w:style w:type="paragraph" w:styleId="Header">
    <w:name w:val="header"/>
    <w:basedOn w:val="Normal"/>
    <w:semiHidden/>
    <w:rsid w:val="00BD30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D303D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BD303D"/>
    <w:pPr>
      <w:spacing w:before="280" w:after="2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2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FA6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FC2F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CXCC 104 – Certified Information Systems Security Professional (CISSP) </vt:lpstr>
      <vt:lpstr>Lesson 7 – Business Continuity and Disaster Recovery Planning</vt:lpstr>
      <vt:lpstr>    Homework</vt:lpstr>
      <vt:lpstr>    Preparing for Lesson 8</vt:lpstr>
    </vt:vector>
  </TitlesOfParts>
  <Company>Ryerson University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 </dc:title>
  <dc:subject/>
  <dc:creator>Ann Marie Westgate</dc:creator>
  <cp:keywords/>
  <cp:lastModifiedBy>Ann Marie</cp:lastModifiedBy>
  <cp:revision>4</cp:revision>
  <cp:lastPrinted>2008-07-01T21:32:00Z</cp:lastPrinted>
  <dcterms:created xsi:type="dcterms:W3CDTF">2009-10-25T02:48:00Z</dcterms:created>
  <dcterms:modified xsi:type="dcterms:W3CDTF">2009-10-25T02:54:00Z</dcterms:modified>
</cp:coreProperties>
</file>